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C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lang w:bidi="lo-LA"/>
        </w:rPr>
      </w:pPr>
      <w:r w:rsidRPr="004635F8"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ຄຳສັ່ງ-ຄຳແນະນຳ</w:t>
      </w: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ວຽກງານບໍລິຫານ</w:t>
      </w: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</w:pPr>
      <w:r w:rsidRPr="004635F8"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ຄຳສັ່ງ-ຄຳແນະນຳ</w:t>
      </w: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ວຽກງານ</w:t>
      </w: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ວິຊາສະເພາະ</w:t>
      </w: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ຂໍ້ຕົກລົງວຽກງານບໍລິຫານ</w:t>
      </w: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ຂໍ້ຕົກລົງວຽກງານວິຊາການ</w:t>
      </w:r>
    </w:p>
    <w:p w:rsidR="004635F8" w:rsidRDefault="004635F8" w:rsidP="004635F8">
      <w:pPr>
        <w:jc w:val="center"/>
        <w:rPr>
          <w:rFonts w:ascii="Phetsarath OT" w:hAnsi="Phetsarath OT" w:cs="Phetsarath OT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ຂໍ້ກຳນົດ</w:t>
      </w: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ວຽກງານບໍລິຫານ</w:t>
      </w: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ຂໍ້ກຳນົດວຽກງານ</w:t>
      </w: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ວິຊາສະເພາະ</w:t>
      </w:r>
    </w:p>
    <w:p w:rsidR="004635F8" w:rsidRDefault="004635F8" w:rsidP="004635F8">
      <w:pPr>
        <w:jc w:val="center"/>
        <w:rPr>
          <w:rFonts w:ascii="Phetsarath OT" w:hAnsi="Phetsarath OT" w:cs="Phetsarath OT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ແຈ້ງການວຽກງານບໍລິຫານ</w:t>
      </w: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ແຈ້ງການວຽກງານ</w:t>
      </w: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ວິຊາສະເພາະ</w:t>
      </w:r>
    </w:p>
    <w:p w:rsidR="004635F8" w:rsidRDefault="004635F8" w:rsidP="004635F8">
      <w:pPr>
        <w:jc w:val="center"/>
        <w:rPr>
          <w:rFonts w:ascii="Phetsarath OT" w:hAnsi="Phetsarath OT" w:cs="Phetsarath OT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ແຜນການວຽກງານບໍລິຫານ</w:t>
      </w: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ແຜນການວຽກງານ</w:t>
      </w: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ວິຊາສະເພາະ</w:t>
      </w: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t>ບົດໂອ້ລົມ</w:t>
      </w:r>
    </w:p>
    <w:p w:rsidR="004635F8" w:rsidRDefault="004635F8" w:rsidP="004635F8">
      <w:pPr>
        <w:jc w:val="center"/>
        <w:rPr>
          <w:rFonts w:ascii="Phetsarath OT" w:hAnsi="Phetsarath OT" w:cs="Phetsarath OT"/>
          <w:b/>
          <w:bCs/>
          <w:sz w:val="60"/>
          <w:szCs w:val="60"/>
          <w:lang w:bidi="lo-LA"/>
        </w:rPr>
      </w:pPr>
      <w: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  <w:lastRenderedPageBreak/>
        <w:t>ບົດກ່າວເປີດ-ປິດ</w:t>
      </w:r>
      <w:bookmarkStart w:id="0" w:name="_GoBack"/>
      <w:bookmarkEnd w:id="0"/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</w:pP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</w:pP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lang w:bidi="lo-LA"/>
        </w:rPr>
      </w:pPr>
    </w:p>
    <w:p w:rsidR="004635F8" w:rsidRDefault="004635F8" w:rsidP="004635F8">
      <w:pPr>
        <w:rPr>
          <w:rFonts w:ascii="Phetsarath OT" w:hAnsi="Phetsarath OT" w:cs="Phetsarath OT" w:hint="cs"/>
          <w:b/>
          <w:bCs/>
          <w:sz w:val="60"/>
          <w:szCs w:val="60"/>
          <w:cs/>
          <w:lang w:bidi="lo-LA"/>
        </w:rPr>
      </w:pPr>
    </w:p>
    <w:p w:rsidR="004635F8" w:rsidRDefault="004635F8" w:rsidP="004635F8">
      <w:pPr>
        <w:jc w:val="center"/>
        <w:rPr>
          <w:rFonts w:ascii="Phetsarath OT" w:hAnsi="Phetsarath OT" w:cs="Phetsarath OT" w:hint="cs"/>
          <w:b/>
          <w:bCs/>
          <w:sz w:val="60"/>
          <w:szCs w:val="60"/>
          <w:lang w:bidi="lo-LA"/>
        </w:rPr>
      </w:pPr>
    </w:p>
    <w:p w:rsidR="004635F8" w:rsidRPr="004635F8" w:rsidRDefault="004635F8" w:rsidP="004635F8">
      <w:pPr>
        <w:jc w:val="center"/>
        <w:rPr>
          <w:rFonts w:ascii="Phetsarath OT" w:hAnsi="Phetsarath OT" w:cs="Phetsarath OT"/>
          <w:b/>
          <w:bCs/>
          <w:sz w:val="60"/>
          <w:szCs w:val="60"/>
          <w:lang w:bidi="lo-LA"/>
        </w:rPr>
      </w:pPr>
    </w:p>
    <w:sectPr w:rsidR="004635F8" w:rsidRPr="004635F8" w:rsidSect="0046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8"/>
    <w:rsid w:val="00086783"/>
    <w:rsid w:val="000D3C89"/>
    <w:rsid w:val="001F4DC8"/>
    <w:rsid w:val="004635F8"/>
    <w:rsid w:val="00562EFD"/>
    <w:rsid w:val="00563084"/>
    <w:rsid w:val="0077211B"/>
    <w:rsid w:val="009450EB"/>
    <w:rsid w:val="00A16EEC"/>
    <w:rsid w:val="00A937CB"/>
    <w:rsid w:val="00C14737"/>
    <w:rsid w:val="00C92BDE"/>
    <w:rsid w:val="00DB6CF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2018-11-19T01:30:00Z</dcterms:created>
  <dcterms:modified xsi:type="dcterms:W3CDTF">2018-11-19T01:39:00Z</dcterms:modified>
</cp:coreProperties>
</file>